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-122250</wp:posOffset>
            </wp:positionV>
            <wp:extent cx="5915630" cy="429768"/>
            <wp:effectExtent b="0" l="0" r="0" t="0"/>
            <wp:wrapNone/>
            <wp:docPr id="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15630" cy="429768"/>
                    </a:xfrm>
                    <a:prstGeom prst="rect"/>
                    <a:ln/>
                  </pic:spPr>
                </pic:pic>
              </a:graphicData>
            </a:graphic>
          </wp:anchor>
        </w:drawing>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2048 Mercer Road Lexington, Kentucky 40511-1071 USA   •   859-233-4599   •   </w:t>
      </w:r>
      <w:hyperlink r:id="rId8">
        <w:r w:rsidDel="00000000" w:rsidR="00000000" w:rsidRPr="00000000">
          <w:rPr>
            <w:rFonts w:ascii="Arial" w:cs="Arial" w:eastAsia="Arial" w:hAnsi="Arial"/>
            <w:color w:val="1155cc"/>
            <w:sz w:val="20"/>
            <w:szCs w:val="20"/>
            <w:u w:val="single"/>
            <w:rtl w:val="0"/>
          </w:rPr>
          <w:t xml:space="preserve">www.audioauthority.com</w:t>
        </w:r>
      </w:hyperlink>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September 21, 2022</w:t>
      </w:r>
    </w:p>
    <w:p w:rsidR="00000000" w:rsidDel="00000000" w:rsidP="00000000" w:rsidRDefault="00000000" w:rsidRPr="00000000" w14:paraId="0000000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NEWS:</w:t>
        <w:tab/>
        <w:t xml:space="preserve">For Immediate Release</w:t>
      </w:r>
    </w:p>
    <w:p w:rsidR="00000000" w:rsidDel="00000000" w:rsidP="00000000" w:rsidRDefault="00000000" w:rsidRPr="00000000" w14:paraId="0000000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Audio Authority Expands Its Line of White Lightning</w:t>
      </w:r>
      <w:sdt>
        <w:sdtPr>
          <w:tag w:val="goog_rdk_0"/>
        </w:sdtPr>
        <w:sdtContent>
          <w:r w:rsidDel="00000000" w:rsidR="00000000" w:rsidRPr="00000000">
            <w:rPr>
              <w:rFonts w:ascii="Arial Unicode MS" w:cs="Arial Unicode MS" w:eastAsia="Arial Unicode MS" w:hAnsi="Arial Unicode MS"/>
              <w:sz w:val="28"/>
              <w:szCs w:val="28"/>
              <w:rtl w:val="0"/>
            </w:rPr>
            <w:t xml:space="preserve">™</w:t>
          </w:r>
        </w:sdtContent>
      </w:sdt>
      <w:r w:rsidDel="00000000" w:rsidR="00000000" w:rsidRPr="00000000">
        <w:rPr>
          <w:rFonts w:ascii="Helvetica Neue" w:cs="Helvetica Neue" w:eastAsia="Helvetica Neue" w:hAnsi="Helvetica Neue"/>
          <w:b w:val="1"/>
          <w:sz w:val="28"/>
          <w:szCs w:val="28"/>
          <w:rtl w:val="0"/>
        </w:rPr>
        <w:t xml:space="preserve"> Mini-GPUs</w:t>
      </w:r>
    </w:p>
    <w:p w:rsidR="00000000" w:rsidDel="00000000" w:rsidP="00000000" w:rsidRDefault="00000000" w:rsidRPr="00000000" w14:paraId="0000000A">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sz w:val="20"/>
          <w:szCs w:val="20"/>
        </w:rPr>
      </w:pPr>
      <w:sdt>
        <w:sdtPr>
          <w:tag w:val="goog_rdk_1"/>
        </w:sdtPr>
        <w:sdtContent>
          <w:r w:rsidDel="00000000" w:rsidR="00000000" w:rsidRPr="00000000">
            <w:rPr>
              <w:rFonts w:ascii="Arial Unicode MS" w:cs="Arial Unicode MS" w:eastAsia="Arial Unicode MS" w:hAnsi="Arial Unicode MS"/>
              <w:sz w:val="20"/>
              <w:szCs w:val="20"/>
              <w:rtl w:val="0"/>
            </w:rPr>
            <w:t xml:space="preserve">Audio Authority of Lexington, KY has announced two new models in its White Lightning™ brand of compact ground power units (GPUs) for general aviation aircraft. Each expands the brand’s focus on cost-effective innovation to address the ground power needs of more aircraft owners, maintenance shops, and avionics installers. Each offers more power and features in approximately the same footprint as the smaller, original Mini-GPU models that have become so popular.</w:t>
          </w:r>
        </w:sdtContent>
      </w:sdt>
    </w:p>
    <w:p w:rsidR="00000000" w:rsidDel="00000000" w:rsidP="00000000" w:rsidRDefault="00000000" w:rsidRPr="00000000" w14:paraId="0000000C">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Pr>
        <w:drawing>
          <wp:inline distB="114300" distT="114300" distL="114300" distR="114300">
            <wp:extent cx="5943600" cy="3987800"/>
            <wp:effectExtent b="0" l="0" r="0" t="0"/>
            <wp:docPr id="8"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5943600" cy="398780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Dual Voltage GPU for Multiple Airframes</w:t>
      </w:r>
    </w:p>
    <w:p w:rsidR="00000000" w:rsidDel="00000000" w:rsidP="00000000" w:rsidRDefault="00000000" w:rsidRPr="00000000" w14:paraId="0000001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Model M1428-DV is a dual-voltage Mini-GPU with selectable outputs of either 12/14-volts or 24/28-volts making it compatible with all aircraft electrical systems. This all-in-one design is especially convenient for owners of multiple aircraft who want one GPU for all their airframe power needs; for example, an LSA or experimental sport airplane with a 14-volt electrical system and a larger business aircraft that requires 28-volts. The M1428-DV is the unique, cost-effective solution with separate, color-coded connections and output cables. </w:t>
      </w:r>
    </w:p>
    <w:tbl>
      <w:tblPr>
        <w:tblStyle w:val="Table1"/>
        <w:tblW w:w="9360.0" w:type="dxa"/>
        <w:jc w:val="center"/>
        <w:tblLayout w:type="fixed"/>
        <w:tblLook w:val="0600"/>
      </w:tblPr>
      <w:tblGrid>
        <w:gridCol w:w="5235"/>
        <w:gridCol w:w="300"/>
        <w:gridCol w:w="3825"/>
        <w:tblGridChange w:id="0">
          <w:tblGrid>
            <w:gridCol w:w="5235"/>
            <w:gridCol w:w="300"/>
            <w:gridCol w:w="382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Pr>
              <w:drawing>
                <wp:inline distB="114300" distT="114300" distL="114300" distR="114300">
                  <wp:extent cx="3176588" cy="1588294"/>
                  <wp:effectExtent b="0" l="0" r="0" t="0"/>
                  <wp:docPr id="7" name="image4.jpg"/>
                  <a:graphic>
                    <a:graphicData uri="http://schemas.openxmlformats.org/drawingml/2006/picture">
                      <pic:pic>
                        <pic:nvPicPr>
                          <pic:cNvPr id="0" name="image4.jpg"/>
                          <pic:cNvPicPr preferRelativeResize="0"/>
                        </pic:nvPicPr>
                        <pic:blipFill>
                          <a:blip r:embed="rId10"/>
                          <a:srcRect b="14218" l="0" r="0" t="19137"/>
                          <a:stretch>
                            <a:fillRect/>
                          </a:stretch>
                        </pic:blipFill>
                        <pic:spPr>
                          <a:xfrm>
                            <a:off x="0" y="0"/>
                            <a:ext cx="3176588" cy="1588294"/>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Dual Voltage GPU</w:t>
            </w:r>
          </w:p>
          <w:p w:rsidR="00000000" w:rsidDel="00000000" w:rsidP="00000000" w:rsidRDefault="00000000" w:rsidRPr="00000000" w14:paraId="00000014">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Model M1428-DV</w:t>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rPr>
                <w:rFonts w:ascii="Helvetica Neue" w:cs="Helvetica Neue" w:eastAsia="Helvetica Neue" w:hAnsi="Helvetica Neue"/>
                <w:b w:val="1"/>
                <w:sz w:val="14"/>
                <w:szCs w:val="14"/>
              </w:rPr>
            </w:pPr>
            <w:r w:rsidDel="00000000" w:rsidR="00000000" w:rsidRPr="00000000">
              <w:rPr>
                <w:rtl w:val="0"/>
              </w:rPr>
            </w:r>
          </w:p>
          <w:p w:rsidR="00000000" w:rsidDel="00000000" w:rsidP="00000000" w:rsidRDefault="00000000" w:rsidRPr="00000000" w14:paraId="00000016">
            <w:pPr>
              <w:widowControl w:val="0"/>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14V, 35A max</w:t>
            </w:r>
          </w:p>
          <w:p w:rsidR="00000000" w:rsidDel="00000000" w:rsidP="00000000" w:rsidRDefault="00000000" w:rsidRPr="00000000" w14:paraId="00000017">
            <w:pPr>
              <w:widowControl w:val="0"/>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28V, 27A max</w:t>
            </w:r>
          </w:p>
          <w:p w:rsidR="00000000" w:rsidDel="00000000" w:rsidP="00000000" w:rsidRDefault="00000000" w:rsidRPr="00000000" w14:paraId="00000018">
            <w:pPr>
              <w:widowControl w:val="0"/>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Detachable cables</w:t>
            </w:r>
          </w:p>
          <w:p w:rsidR="00000000" w:rsidDel="00000000" w:rsidP="00000000" w:rsidRDefault="00000000" w:rsidRPr="00000000" w14:paraId="00000019">
            <w:pPr>
              <w:widowControl w:val="0"/>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Auto shutdown timer</w:t>
            </w:r>
          </w:p>
          <w:p w:rsidR="00000000" w:rsidDel="00000000" w:rsidP="00000000" w:rsidRDefault="00000000" w:rsidRPr="00000000" w14:paraId="0000001A">
            <w:pPr>
              <w:widowControl w:val="0"/>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USB charging ports</w:t>
            </w:r>
          </w:p>
          <w:p w:rsidR="00000000" w:rsidDel="00000000" w:rsidP="00000000" w:rsidRDefault="00000000" w:rsidRPr="00000000" w14:paraId="0000001B">
            <w:pPr>
              <w:widowControl w:val="0"/>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MSRP $1025</w:t>
            </w:r>
          </w:p>
        </w:tc>
      </w:tr>
    </w:tbl>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M1428-DV offers the same dual-voltage advantage in one device to GA maintenance shops, aircraft dealers, flight instructors, avionics shops, and anyone who deals with a variety of aircraft types. The M1428-DV features two separate high-tech switching power modules, a voltmeter/ammeter, USB convenience ports, a programmable automatic shutdown timer, universal input voltage, and color-coded output cables for both 14 and 28-volt aircraft. The M1428-DV is priced at US$1,025. </w:t>
      </w:r>
    </w:p>
    <w:tbl>
      <w:tblPr>
        <w:tblStyle w:val="Table2"/>
        <w:tblW w:w="9360.0" w:type="dxa"/>
        <w:jc w:val="left"/>
        <w:tblInd w:w="0.0" w:type="dxa"/>
        <w:tblLayout w:type="fixed"/>
        <w:tblLook w:val="0600"/>
      </w:tblPr>
      <w:tblGrid>
        <w:gridCol w:w="4635"/>
        <w:gridCol w:w="885"/>
        <w:gridCol w:w="3840"/>
        <w:tblGridChange w:id="0">
          <w:tblGrid>
            <w:gridCol w:w="4635"/>
            <w:gridCol w:w="885"/>
            <w:gridCol w:w="38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D">
            <w:pPr>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Pr>
              <w:drawing>
                <wp:inline distB="114300" distT="114300" distL="114300" distR="114300">
                  <wp:extent cx="2871788" cy="1757213"/>
                  <wp:effectExtent b="0" l="0" r="0" t="0"/>
                  <wp:docPr id="9" name="image2.jpg"/>
                  <a:graphic>
                    <a:graphicData uri="http://schemas.openxmlformats.org/drawingml/2006/picture">
                      <pic:pic>
                        <pic:nvPicPr>
                          <pic:cNvPr id="0" name="image2.jpg"/>
                          <pic:cNvPicPr preferRelativeResize="0"/>
                        </pic:nvPicPr>
                        <pic:blipFill>
                          <a:blip r:embed="rId11"/>
                          <a:srcRect b="9912" l="-2472" r="13372" t="9302"/>
                          <a:stretch>
                            <a:fillRect/>
                          </a:stretch>
                        </pic:blipFill>
                        <pic:spPr>
                          <a:xfrm>
                            <a:off x="0" y="0"/>
                            <a:ext cx="2871788" cy="1757213"/>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0">
            <w:pPr>
              <w:widowControl w:val="0"/>
              <w:rPr>
                <w:rFonts w:ascii="Helvetica Neue" w:cs="Helvetica Neue" w:eastAsia="Helvetica Neue" w:hAnsi="Helvetica Neue"/>
                <w:b w:val="1"/>
                <w:sz w:val="18"/>
                <w:szCs w:val="18"/>
              </w:rPr>
            </w:pPr>
            <w:r w:rsidDel="00000000" w:rsidR="00000000" w:rsidRPr="00000000">
              <w:rPr>
                <w:rtl w:val="0"/>
              </w:rPr>
            </w:r>
          </w:p>
          <w:p w:rsidR="00000000" w:rsidDel="00000000" w:rsidP="00000000" w:rsidRDefault="00000000" w:rsidRPr="00000000" w14:paraId="00000021">
            <w:pPr>
              <w:widowControl w:val="0"/>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2">
            <w:pPr>
              <w:widowControl w:val="0"/>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28V GPU</w:t>
            </w:r>
          </w:p>
          <w:p w:rsidR="00000000" w:rsidDel="00000000" w:rsidP="00000000" w:rsidRDefault="00000000" w:rsidRPr="00000000" w14:paraId="00000023">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Model M2850</w:t>
            </w:r>
          </w:p>
          <w:p w:rsidR="00000000" w:rsidDel="00000000" w:rsidP="00000000" w:rsidRDefault="00000000" w:rsidRPr="00000000" w14:paraId="00000024">
            <w:pPr>
              <w:widowControl w:val="0"/>
              <w:rPr>
                <w:rFonts w:ascii="Helvetica Neue" w:cs="Helvetica Neue" w:eastAsia="Helvetica Neue" w:hAnsi="Helvetica Neue"/>
                <w:b w:val="1"/>
                <w:sz w:val="14"/>
                <w:szCs w:val="14"/>
              </w:rPr>
            </w:pPr>
            <w:r w:rsidDel="00000000" w:rsidR="00000000" w:rsidRPr="00000000">
              <w:rPr>
                <w:rtl w:val="0"/>
              </w:rPr>
            </w:r>
          </w:p>
          <w:p w:rsidR="00000000" w:rsidDel="00000000" w:rsidP="00000000" w:rsidRDefault="00000000" w:rsidRPr="00000000" w14:paraId="00000025">
            <w:pPr>
              <w:widowControl w:val="0"/>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28V, 50A max</w:t>
            </w:r>
          </w:p>
          <w:p w:rsidR="00000000" w:rsidDel="00000000" w:rsidP="00000000" w:rsidRDefault="00000000" w:rsidRPr="00000000" w14:paraId="00000026">
            <w:pPr>
              <w:widowControl w:val="0"/>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Detachable cables</w:t>
            </w:r>
          </w:p>
          <w:p w:rsidR="00000000" w:rsidDel="00000000" w:rsidP="00000000" w:rsidRDefault="00000000" w:rsidRPr="00000000" w14:paraId="00000027">
            <w:pPr>
              <w:widowControl w:val="0"/>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Auto shutdown timer</w:t>
            </w:r>
          </w:p>
          <w:p w:rsidR="00000000" w:rsidDel="00000000" w:rsidP="00000000" w:rsidRDefault="00000000" w:rsidRPr="00000000" w14:paraId="00000028">
            <w:pPr>
              <w:widowControl w:val="0"/>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USB charging ports</w:t>
            </w:r>
          </w:p>
          <w:p w:rsidR="00000000" w:rsidDel="00000000" w:rsidP="00000000" w:rsidRDefault="00000000" w:rsidRPr="00000000" w14:paraId="00000029">
            <w:pPr>
              <w:widowControl w:val="0"/>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MSRP $995</w:t>
            </w:r>
          </w:p>
        </w:tc>
      </w:tr>
    </w:tbl>
    <w:p w:rsidR="00000000" w:rsidDel="00000000" w:rsidP="00000000" w:rsidRDefault="00000000" w:rsidRPr="00000000" w14:paraId="0000002A">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 Compact 50 Amp GPU for GA Aircraft</w:t>
      </w:r>
    </w:p>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Also joining the White Lightning model lineup is the M2850. This is a 28-volt Mini-GPU with double the output for up to 50A of clean airframe power. It is suitable for powering larger GA airframes and for doing higher current maintenance tasks such as powering hydraulic motors. The M2850 shares the same brand features of world-wide input compatibility, color-coded and keyed output connectors, programmable auto-shutdown timer, USB charging ports, and heavy-duty output cables. </w:t>
      </w:r>
    </w:p>
    <w:p w:rsidR="00000000" w:rsidDel="00000000" w:rsidP="00000000" w:rsidRDefault="00000000" w:rsidRPr="00000000" w14:paraId="0000002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M2850 is priced at US$995.</w:t>
      </w:r>
    </w:p>
    <w:p w:rsidR="00000000" w:rsidDel="00000000" w:rsidP="00000000" w:rsidRDefault="00000000" w:rsidRPr="00000000" w14:paraId="0000002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Audio Authority is accepting pre-orders for these new models for October delivery. White Lightning GPUs are available factory direct from the </w:t>
      </w:r>
      <w:hyperlink r:id="rId12">
        <w:r w:rsidDel="00000000" w:rsidR="00000000" w:rsidRPr="00000000">
          <w:rPr>
            <w:rFonts w:ascii="Helvetica Neue" w:cs="Helvetica Neue" w:eastAsia="Helvetica Neue" w:hAnsi="Helvetica Neue"/>
            <w:color w:val="0563c1"/>
            <w:sz w:val="20"/>
            <w:szCs w:val="20"/>
            <w:u w:val="single"/>
            <w:rtl w:val="0"/>
          </w:rPr>
          <w:t xml:space="preserve">www.audioauthority.com</w:t>
        </w:r>
      </w:hyperlink>
      <w:r w:rsidDel="00000000" w:rsidR="00000000" w:rsidRPr="00000000">
        <w:rPr>
          <w:rFonts w:ascii="Helvetica Neue" w:cs="Helvetica Neue" w:eastAsia="Helvetica Neue" w:hAnsi="Helvetica Neue"/>
          <w:sz w:val="20"/>
          <w:szCs w:val="20"/>
          <w:rtl w:val="0"/>
        </w:rPr>
        <w:t xml:space="preserve"> website, or from national distributors, Aircraft Spruce and Sportys. </w:t>
      </w:r>
    </w:p>
    <w:p w:rsidR="00000000" w:rsidDel="00000000" w:rsidP="00000000" w:rsidRDefault="00000000" w:rsidRPr="00000000" w14:paraId="0000002F">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3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Audio Authority has been designing and manufacturing innovative electronics from its Lexington, KY campus since 1976, and serving the general aviation market since 2004 with its ground power products. </w:t>
      </w:r>
    </w:p>
    <w:p w:rsidR="00000000" w:rsidDel="00000000" w:rsidP="00000000" w:rsidRDefault="00000000" w:rsidRPr="00000000" w14:paraId="00000031">
      <w:pPr>
        <w:shd w:fill="ffffff" w:val="clear"/>
        <w:rPr>
          <w:rFonts w:ascii="Arial" w:cs="Arial" w:eastAsia="Arial" w:hAnsi="Arial"/>
          <w:color w:val="222222"/>
          <w:sz w:val="20"/>
          <w:szCs w:val="20"/>
        </w:rPr>
      </w:pPr>
      <w:r w:rsidDel="00000000" w:rsidR="00000000" w:rsidRPr="00000000">
        <w:rPr>
          <w:rtl w:val="0"/>
        </w:rPr>
      </w:r>
    </w:p>
    <w:p w:rsidR="00000000" w:rsidDel="00000000" w:rsidP="00000000" w:rsidRDefault="00000000" w:rsidRPr="00000000" w14:paraId="00000032">
      <w:pPr>
        <w:shd w:fill="ffffff" w:val="clea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222222"/>
          <w:sz w:val="20"/>
          <w:szCs w:val="20"/>
          <w:rtl w:val="0"/>
        </w:rPr>
        <w:t xml:space="preserve">For more information and high resolution product images contact Dan Farnsworth, Marketing Supervisor. </w:t>
      </w: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 dfarns@audioauthority.com</w:t>
      </w:r>
    </w:p>
    <w:p w:rsidR="00000000" w:rsidDel="00000000" w:rsidP="00000000" w:rsidRDefault="00000000" w:rsidRPr="00000000" w14:paraId="0000003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phone: 800-233-4599 x119</w:t>
      </w:r>
    </w:p>
    <w:p w:rsidR="00000000" w:rsidDel="00000000" w:rsidP="00000000" w:rsidRDefault="00000000" w:rsidRPr="00000000" w14:paraId="0000003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website: </w:t>
      </w:r>
      <w:hyperlink r:id="rId13">
        <w:r w:rsidDel="00000000" w:rsidR="00000000" w:rsidRPr="00000000">
          <w:rPr>
            <w:rFonts w:ascii="Helvetica Neue" w:cs="Helvetica Neue" w:eastAsia="Helvetica Neue" w:hAnsi="Helvetica Neue"/>
            <w:color w:val="1155cc"/>
            <w:sz w:val="20"/>
            <w:szCs w:val="20"/>
            <w:u w:val="single"/>
            <w:rtl w:val="0"/>
          </w:rPr>
          <w:t xml:space="preserve">audioauthority.com</w:t>
        </w:r>
      </w:hyperlink>
      <w:r w:rsidDel="00000000" w:rsidR="00000000" w:rsidRPr="00000000">
        <w:rPr>
          <w:rtl w:val="0"/>
        </w:rPr>
      </w:r>
    </w:p>
    <w:p w:rsidR="00000000" w:rsidDel="00000000" w:rsidP="00000000" w:rsidRDefault="00000000" w:rsidRPr="00000000" w14:paraId="00000037">
      <w:pPr>
        <w:rPr>
          <w:rFonts w:ascii="Helvetica Neue" w:cs="Helvetica Neue" w:eastAsia="Helvetica Neue" w:hAnsi="Helvetica Neue"/>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Arial Unicode MS"/>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character" w:styleId="Hyperlink">
    <w:name w:val="Hyperlink"/>
    <w:basedOn w:val="DefaultParagraphFont"/>
    <w:rsid w:val="008B0484"/>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image" Target="media/image4.jpg"/><Relationship Id="rId13" Type="http://schemas.openxmlformats.org/officeDocument/2006/relationships/hyperlink" Target="https://www.audioauthority.com/blog" TargetMode="External"/><Relationship Id="rId12" Type="http://schemas.openxmlformats.org/officeDocument/2006/relationships/hyperlink" Target="http://www.audioauthority.com/avi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www.audioauthority.com/avi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DLA0MZioBvHbr7b8XWwWBAO9vQ==">AMUW2mUC8FNhLrW9+9DAGQfGByKioqXtDMxN3sj+gBDQW7dJHbPxwUTJthuZjDGp3az9zRilR26qjarbJBQ9iipQ9DFnCmxVGHpvPOtPxcopThNi1iglU14ztSs4BtrS4NsJwGcopud37aqHTnZ5YMtSR3hzRs1Ph2Uk0WkManehro28CXXch3zFlpMNJ96PUNJ+QzhXMtGzIrzq28ikZwsSLxdUq/lIFDb7sCkmQmpqTwb7/g6HpXw=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2022-09-15T20:34:00Z</dcterms:created>
</cp:coreProperties>
</file>